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62F4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>ФТД.В.02 Подготовка публичной защиты ВКР</w:t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2F4E" w:rsidRPr="00462F4E" w:rsidRDefault="00462F4E" w:rsidP="00462F4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9A67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462F4E" w:rsidRPr="00FD6B63" w:rsidRDefault="007D14CB" w:rsidP="00FD6B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D6B63" w:rsidRPr="00FD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D6B63" w:rsidRPr="00FD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9A6741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6199505" cy="536575"/>
            <wp:effectExtent l="19050" t="0" r="0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567815" cy="579120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172085</wp:posOffset>
            </wp:positionV>
            <wp:extent cx="1710055" cy="631825"/>
            <wp:effectExtent l="19050" t="0" r="4445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62F4E" w:rsidRPr="00462F4E" w:rsidRDefault="00462F4E" w:rsidP="00462F4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                                                                                        Л.В. Абдалина</w:t>
      </w:r>
    </w:p>
    <w:p w:rsidR="007D14CB" w:rsidRDefault="007D14CB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62F4E" w:rsidRPr="00462F4E" w:rsidRDefault="00462F4E" w:rsidP="0046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462F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систематизация и закрепление теоретических знаний, практических умений и профессиональных навыков в процессе их использования для решения конкретных задач в рамках выбранной темы исследования.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62F4E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знаний о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средства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и межкультурного взаимодействия при подготовке к публичному выступлению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задач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публичной защиты и ее значения для своей будущей профессиональной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психологических компетенций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познания и понимания; условия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общения.</w:t>
      </w:r>
      <w:proofErr w:type="gramEnd"/>
    </w:p>
    <w:p w:rsidR="004A36A0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2.2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A36A0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устанавливать контакты и поддерживать межличностные связи и отношения при публичном выступлении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использовать знания публичной защиты для решения конкретных задач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применять базовые знания для проведения стандартного прикладного исследования в определённой области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эффективного общения.</w:t>
      </w:r>
    </w:p>
    <w:p w:rsidR="007D14CB" w:rsidRDefault="00FD6B63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 на русском языке, успешно решать задачи межличностного и межкультурного взаимодействия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профессиональных задач; способами оценивания качества изученного материала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решения профессиональных задач в области научно-исследовательской и практической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а так же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6A0" w:rsidRPr="007D14CB" w:rsidRDefault="004A36A0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публичной защиты ВКР»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– факультативам.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462F4E" w:rsidRPr="00462F4E">
        <w:rPr>
          <w:rFonts w:ascii="Times New Roman" w:hAnsi="Times New Roman" w:cs="Times New Roman"/>
          <w:sz w:val="28"/>
          <w:szCs w:val="28"/>
        </w:rPr>
        <w:t xml:space="preserve">«Русский язык и культура </w:t>
      </w:r>
      <w:r w:rsidR="00FD6B63">
        <w:rPr>
          <w:rFonts w:ascii="Times New Roman" w:hAnsi="Times New Roman" w:cs="Times New Roman"/>
          <w:sz w:val="28"/>
          <w:szCs w:val="28"/>
        </w:rPr>
        <w:t>речи», «Профессиональная этика», «Психология общения».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62F4E" w:rsidRDefault="00462F4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62F4E"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462F4E" w:rsidRPr="00FD6B63" w:rsidTr="00FD6B63">
        <w:tc>
          <w:tcPr>
            <w:tcW w:w="675" w:type="dxa"/>
            <w:vMerge w:val="restart"/>
          </w:tcPr>
          <w:p w:rsidR="00462F4E" w:rsidRPr="00FD6B63" w:rsidRDefault="00462F4E" w:rsidP="00462F4E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62F4E" w:rsidRPr="00FD6B63" w:rsidTr="00FD6B63">
        <w:tc>
          <w:tcPr>
            <w:tcW w:w="675" w:type="dxa"/>
            <w:vMerge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устной и письменной </w:t>
            </w:r>
            <w:proofErr w:type="gramStart"/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формах</w:t>
            </w:r>
            <w:proofErr w:type="gramEnd"/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подготовке к публичному выступлению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устанавливать контакты и поддерживать межличностные связи и отношения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публичном выступлении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59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предмет, задачи, цели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публичной защиты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ее значения для своей будущей профессиональной деятельности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публичной защиты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решения конкретных задач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определённой области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</w:t>
            </w:r>
            <w:r w:rsidR="00FD6B63"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к просветительской деятельности среди </w:t>
            </w: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механизмы межличностного познания и понимания; условия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эффективного общения.</w:t>
            </w:r>
          </w:p>
        </w:tc>
        <w:tc>
          <w:tcPr>
            <w:tcW w:w="1843" w:type="dxa"/>
          </w:tcPr>
          <w:p w:rsid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создавать условия для эффективного общения.</w:t>
            </w:r>
          </w:p>
          <w:p w:rsidR="00462F4E" w:rsidRPr="00FD6B63" w:rsidRDefault="00462F4E" w:rsidP="00FD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системой приемов и способов ведения просветительской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 среди населения с целью повышения уровня психологической культуры общества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2262"/>
        <w:gridCol w:w="1158"/>
        <w:gridCol w:w="2706"/>
      </w:tblGrid>
      <w:tr w:rsidR="006422E4" w:rsidRPr="006422E4" w:rsidTr="00A16342">
        <w:tc>
          <w:tcPr>
            <w:tcW w:w="549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№ 8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300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96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58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</w:t>
            </w:r>
            <w:proofErr w:type="gramStart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</w:t>
            </w:r>
            <w:proofErr w:type="spell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6"/>
        <w:gridCol w:w="2270"/>
        <w:gridCol w:w="1162"/>
        <w:gridCol w:w="2713"/>
      </w:tblGrid>
      <w:tr w:rsidR="006422E4" w:rsidRPr="006422E4" w:rsidTr="00A16342">
        <w:trPr>
          <w:trHeight w:val="246"/>
        </w:trPr>
        <w:tc>
          <w:tcPr>
            <w:tcW w:w="550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62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Курс 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27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4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</w:t>
            </w:r>
            <w:proofErr w:type="spellStart"/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proofErr w:type="gram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</w:t>
            </w:r>
            <w:proofErr w:type="gramStart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форму контроля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</w:t>
            </w:r>
            <w:proofErr w:type="spellEnd"/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ед.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области и обоснование темы ВКР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F47F9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A16342" w:rsidRDefault="00A16342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B51A24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бласти и обоснование темы ВКР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F47F9F" w:rsidRDefault="00A16342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47F9F" w:rsidRPr="00F47F9F" w:rsidRDefault="00F47F9F" w:rsidP="00F47F9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47F9F" w:rsidRPr="00F47F9F" w:rsidRDefault="00F47F9F" w:rsidP="00F47F9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DE701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 w:rsid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Л.В. Публичное выступление [Электронный ресурс] / Л.В.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Инфра-Инженерия, 2016. — 128 c. — 978-5-9729-0130-2.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E33E9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http://www.iprbookshop.ru/51733.html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6342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A16342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Зверева Н. Вам слово! Выступление без волнения [Электронный ресурс] / Н. Зверева.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Альпина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Паблишер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2016. — 186 c. — 978-5-9614-4468-1.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A16342" w:rsidRDefault="00E33E9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http://www.iprbookshop.ru/42704.html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 Как выступать публично [Электронный ресурс]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50 вопросов и ответов / Н.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екстовые данные. — М.</w:t>
            </w:r>
            <w:proofErr w:type="gram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Альпина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Паблишер</w:t>
            </w:r>
            <w:proofErr w:type="spellEnd"/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2016. — 245 c. — 978-5-9614-5009-5.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E33E9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http://www.iprbookshop.ru/43632.html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47F9F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Тульчинский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Г. Л. Логика и теория аргументации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академического бакалавриата 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/ Г. Л. </w:t>
            </w: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Тульчинский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С. С. Гусев, С. В. Герасимов ; под ред. Г. Л. </w:t>
            </w:r>
            <w:proofErr w:type="spell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Тульчинского</w:t>
            </w:r>
            <w:proofErr w:type="spell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2018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233 с. — (Серия : Бакалавр. </w:t>
            </w:r>
            <w:proofErr w:type="gramStart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978-5-534-01178-4.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F47F9F" w:rsidRPr="00F47F9F" w:rsidRDefault="00E33E9A" w:rsidP="00A16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t>https://biblio-online.ru/book/logika-i-teoriya-</w:t>
              </w:r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argumentacii-433310</w:t>
              </w:r>
            </w:hyperlink>
            <w:r w:rsidR="00F47F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14CB" w:rsidRPr="00A16342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3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3" w:type="dxa"/>
            <w:vAlign w:val="center"/>
          </w:tcPr>
          <w:p w:rsidR="00F47F9F" w:rsidRPr="001363E0" w:rsidRDefault="00E33E9A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F47F9F" w:rsidRDefault="00E33E9A" w:rsidP="000C6DB8">
            <w:pPr>
              <w:contextualSpacing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42" w:rsidRPr="007D14CB" w:rsidRDefault="00A16342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163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D14CB" w:rsidRPr="00A16342" w:rsidRDefault="00A16342" w:rsidP="00F4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На занятиях могут быть использованы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(чтение 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лекций с использованием слайд-презентаций, электронного курса лекций, графических объектов, виде</w:t>
      </w:r>
      <w:proofErr w:type="gramStart"/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о-</w:t>
      </w:r>
      <w:proofErr w:type="gramEnd"/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ауд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ио- материалов (через Интернет))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, информационных (справочных) систем, баз данных, организация взаимодействия с обучающимися посредством электронной почты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9F" w:rsidRPr="001B741B" w:rsidRDefault="00F47F9F" w:rsidP="00F47F9F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F47F9F" w:rsidRPr="00044818" w:rsidRDefault="00F47F9F" w:rsidP="00F47F9F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F47F9F" w:rsidRPr="001B741B" w:rsidRDefault="00E33E9A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47F9F" w:rsidRPr="00B0013D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47F9F" w:rsidRPr="001B741B" w:rsidRDefault="00E33E9A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F47F9F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D3006F" w:rsidRDefault="008F0659" w:rsidP="00D3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3006F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D3006F" w:rsidRPr="00996739" w:rsidRDefault="00D3006F" w:rsidP="00D3006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тренинг, мозговой штурм, презентация и др. </w:t>
      </w:r>
      <w:proofErr w:type="gramEnd"/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D300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29"/>
        <w:gridCol w:w="2835"/>
        <w:gridCol w:w="3366"/>
      </w:tblGrid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апперцепции (CAT), мотивационная готовность к школьному обучению, рисуночный тест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</w:t>
            </w:r>
            <w:proofErr w:type="gram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6417D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Комплект для обучения в высших и средних учебных заведениях.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6778AC" w:rsidRPr="00517E5E" w:rsidRDefault="006778AC" w:rsidP="001068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00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6417D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Комплект для обучения в высших и средних учебных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заведениях.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6778AC" w:rsidRPr="00517E5E" w:rsidRDefault="006778AC" w:rsidP="001068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636F0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73990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3006F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8B022E" w:rsidRDefault="006778AC" w:rsidP="00106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022E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6417D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D6417D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</w:t>
            </w:r>
            <w:r>
              <w:rPr>
                <w:rFonts w:ascii="Times New Roman" w:hAnsi="Times New Roman"/>
                <w:sz w:val="24"/>
                <w:szCs w:val="20"/>
              </w:rPr>
              <w:t>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6778AC" w:rsidRPr="00517E5E" w:rsidRDefault="006778AC" w:rsidP="001068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6778AC" w:rsidRPr="00D3006F" w:rsidTr="00106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Default="006778AC" w:rsidP="0010685A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B636F0" w:rsidRDefault="006778AC" w:rsidP="001068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636F0">
              <w:rPr>
                <w:rFonts w:ascii="Times New Roman" w:hAnsi="Times New Roman" w:cs="Times New Roman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AC" w:rsidRPr="00DF6198" w:rsidRDefault="006778AC" w:rsidP="00106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7F9F" w:rsidRPr="00F47F9F" w:rsidRDefault="00F47F9F" w:rsidP="00F47F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4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47F9F" w:rsidRPr="00F47F9F" w:rsidRDefault="00F47F9F" w:rsidP="00F47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47F9F" w:rsidRPr="007D14CB" w:rsidRDefault="00F47F9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6778AC" w:rsidTr="0010685A">
        <w:tc>
          <w:tcPr>
            <w:tcW w:w="562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6778AC" w:rsidTr="0010685A">
        <w:trPr>
          <w:trHeight w:val="1134"/>
        </w:trPr>
        <w:tc>
          <w:tcPr>
            <w:tcW w:w="562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778AC" w:rsidRPr="00E73990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1" w:type="dxa"/>
            <w:vAlign w:val="center"/>
          </w:tcPr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778AC" w:rsidRPr="00E73990" w:rsidRDefault="006778AC" w:rsidP="00106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60960</wp:posOffset>
                  </wp:positionV>
                  <wp:extent cx="1108710" cy="629285"/>
                  <wp:effectExtent l="19050" t="0" r="0" b="0"/>
                  <wp:wrapNone/>
                  <wp:docPr id="2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660A" w:rsidTr="0010685A">
        <w:trPr>
          <w:trHeight w:val="1134"/>
        </w:trPr>
        <w:tc>
          <w:tcPr>
            <w:tcW w:w="562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B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7660A" w:rsidRPr="009B78F7" w:rsidRDefault="00B7660A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-292735</wp:posOffset>
                  </wp:positionV>
                  <wp:extent cx="1108710" cy="629285"/>
                  <wp:effectExtent l="0" t="0" r="0" b="0"/>
                  <wp:wrapNone/>
                  <wp:docPr id="3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B7660A" w:rsidTr="0010685A">
        <w:trPr>
          <w:trHeight w:val="1134"/>
        </w:trPr>
        <w:tc>
          <w:tcPr>
            <w:tcW w:w="562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7660A" w:rsidRPr="00AE2D71" w:rsidRDefault="00B7660A" w:rsidP="00B7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7660A" w:rsidRPr="00AE2D71" w:rsidRDefault="00B7660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7660A" w:rsidRPr="009B78F7" w:rsidRDefault="00B7660A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-162560</wp:posOffset>
                  </wp:positionV>
                  <wp:extent cx="1108710" cy="629285"/>
                  <wp:effectExtent l="0" t="0" r="0" b="0"/>
                  <wp:wrapNone/>
                  <wp:docPr id="5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78AC" w:rsidTr="0010685A">
        <w:trPr>
          <w:trHeight w:val="1134"/>
        </w:trPr>
        <w:tc>
          <w:tcPr>
            <w:tcW w:w="562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AC" w:rsidTr="0010685A">
        <w:trPr>
          <w:trHeight w:val="1134"/>
        </w:trPr>
        <w:tc>
          <w:tcPr>
            <w:tcW w:w="562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8AC" w:rsidTr="0010685A">
        <w:trPr>
          <w:trHeight w:val="1134"/>
        </w:trPr>
        <w:tc>
          <w:tcPr>
            <w:tcW w:w="562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6778AC" w:rsidRPr="009B78F7" w:rsidRDefault="006778AC" w:rsidP="0010685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EF" w:rsidRDefault="008812EF">
      <w:pPr>
        <w:spacing w:after="0" w:line="240" w:lineRule="auto"/>
      </w:pPr>
      <w:r>
        <w:separator/>
      </w:r>
    </w:p>
  </w:endnote>
  <w:endnote w:type="continuationSeparator" w:id="0">
    <w:p w:rsidR="008812EF" w:rsidRDefault="0088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EF" w:rsidRDefault="008812EF">
      <w:pPr>
        <w:spacing w:after="0" w:line="240" w:lineRule="auto"/>
      </w:pPr>
      <w:r>
        <w:separator/>
      </w:r>
    </w:p>
  </w:footnote>
  <w:footnote w:type="continuationSeparator" w:id="0">
    <w:p w:rsidR="008812EF" w:rsidRDefault="0088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E33E9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B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B63" w:rsidRDefault="00FD6B63">
    <w:pPr>
      <w:pStyle w:val="a3"/>
    </w:pPr>
  </w:p>
  <w:p w:rsidR="00FD6B63" w:rsidRDefault="00FD6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E33E9A" w:rsidP="004B3B8A">
    <w:pPr>
      <w:pStyle w:val="a3"/>
      <w:jc w:val="center"/>
    </w:pPr>
    <w:r>
      <w:fldChar w:fldCharType="begin"/>
    </w:r>
    <w:r w:rsidR="00994150">
      <w:instrText>PAGE   \* MERGEFORMAT</w:instrText>
    </w:r>
    <w:r>
      <w:fldChar w:fldCharType="separate"/>
    </w:r>
    <w:r w:rsidR="00026E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4A9"/>
    <w:multiLevelType w:val="hybridMultilevel"/>
    <w:tmpl w:val="2AD22876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A6A7196"/>
    <w:multiLevelType w:val="hybridMultilevel"/>
    <w:tmpl w:val="E23CDE6C"/>
    <w:lvl w:ilvl="0" w:tplc="A646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37B23"/>
    <w:multiLevelType w:val="hybridMultilevel"/>
    <w:tmpl w:val="22F8F0A4"/>
    <w:lvl w:ilvl="0" w:tplc="5C14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26E5E"/>
    <w:rsid w:val="000408C4"/>
    <w:rsid w:val="00064EEE"/>
    <w:rsid w:val="00090FF8"/>
    <w:rsid w:val="000E5724"/>
    <w:rsid w:val="00112B17"/>
    <w:rsid w:val="00180B23"/>
    <w:rsid w:val="001A3963"/>
    <w:rsid w:val="001A58CB"/>
    <w:rsid w:val="001C7777"/>
    <w:rsid w:val="00213C5C"/>
    <w:rsid w:val="00220D18"/>
    <w:rsid w:val="00242904"/>
    <w:rsid w:val="00272515"/>
    <w:rsid w:val="00331631"/>
    <w:rsid w:val="003501B4"/>
    <w:rsid w:val="0037597A"/>
    <w:rsid w:val="003E4609"/>
    <w:rsid w:val="003F4ADA"/>
    <w:rsid w:val="00462F4E"/>
    <w:rsid w:val="004A36A0"/>
    <w:rsid w:val="004B3B8A"/>
    <w:rsid w:val="004C21CE"/>
    <w:rsid w:val="004C6319"/>
    <w:rsid w:val="00517E5E"/>
    <w:rsid w:val="005442C6"/>
    <w:rsid w:val="00587275"/>
    <w:rsid w:val="00606181"/>
    <w:rsid w:val="006422E4"/>
    <w:rsid w:val="006778AC"/>
    <w:rsid w:val="006807ED"/>
    <w:rsid w:val="00690CEC"/>
    <w:rsid w:val="006B1018"/>
    <w:rsid w:val="00704B68"/>
    <w:rsid w:val="00746B78"/>
    <w:rsid w:val="00793318"/>
    <w:rsid w:val="007A4C6D"/>
    <w:rsid w:val="007D14CB"/>
    <w:rsid w:val="008812EF"/>
    <w:rsid w:val="008A480B"/>
    <w:rsid w:val="008B022E"/>
    <w:rsid w:val="008D4D6D"/>
    <w:rsid w:val="008E7E8D"/>
    <w:rsid w:val="008F0659"/>
    <w:rsid w:val="00923A38"/>
    <w:rsid w:val="0096643E"/>
    <w:rsid w:val="00994150"/>
    <w:rsid w:val="00995CE2"/>
    <w:rsid w:val="009A6741"/>
    <w:rsid w:val="009B78F7"/>
    <w:rsid w:val="009D079E"/>
    <w:rsid w:val="00A16342"/>
    <w:rsid w:val="00A444B6"/>
    <w:rsid w:val="00A73019"/>
    <w:rsid w:val="00A818A4"/>
    <w:rsid w:val="00AE1E41"/>
    <w:rsid w:val="00AF5D70"/>
    <w:rsid w:val="00B459D8"/>
    <w:rsid w:val="00B51A24"/>
    <w:rsid w:val="00B636F0"/>
    <w:rsid w:val="00B67CFD"/>
    <w:rsid w:val="00B7660A"/>
    <w:rsid w:val="00B932D4"/>
    <w:rsid w:val="00BB3D59"/>
    <w:rsid w:val="00D3006F"/>
    <w:rsid w:val="00D6417D"/>
    <w:rsid w:val="00D81557"/>
    <w:rsid w:val="00DD2F7D"/>
    <w:rsid w:val="00DE7010"/>
    <w:rsid w:val="00E33E9A"/>
    <w:rsid w:val="00E50F57"/>
    <w:rsid w:val="00E6018E"/>
    <w:rsid w:val="00E66F96"/>
    <w:rsid w:val="00F143B2"/>
    <w:rsid w:val="00F47F9F"/>
    <w:rsid w:val="00FD6B63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6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42704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173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logika-i-teoriya-argumentacii-43331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4363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26</cp:revision>
  <cp:lastPrinted>2019-09-25T10:18:00Z</cp:lastPrinted>
  <dcterms:created xsi:type="dcterms:W3CDTF">2018-11-01T13:04:00Z</dcterms:created>
  <dcterms:modified xsi:type="dcterms:W3CDTF">2019-12-13T14:42:00Z</dcterms:modified>
</cp:coreProperties>
</file>