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180D23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</w:t>
      </w:r>
      <w:r w:rsid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.02.02 Семейное консультирование и психотерапия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180D23" w:rsidRPr="00D43328" w:rsidRDefault="007D14CB" w:rsidP="00D4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43328" w:rsidRPr="00D4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</w:t>
      </w:r>
      <w:r w:rsidR="00F421ED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«Психология»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80D23" w:rsidRPr="00180D23" w:rsidRDefault="00180D23" w:rsidP="00180D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D23" w:rsidRPr="00180D23" w:rsidRDefault="00180D23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180D23" w:rsidRPr="00180D23" w:rsidRDefault="00180D23" w:rsidP="00180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80D23" w:rsidRPr="00180D23" w:rsidRDefault="00180D23" w:rsidP="00180D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A6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="00D4332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к реализации базовых процедур анализа семейных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D43328" w:rsidRDefault="001A3963" w:rsidP="00D4332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просветительской деятельности среди населения с целью повышения уровня психологической культуры общества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962E8D" w:rsidRPr="00D43328" w:rsidRDefault="00962E8D" w:rsidP="00D4332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структурирования процесса семейного консультирования и психотерапии.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E8D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2E8D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вариативной части учебного плана -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по выбору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EB" w:rsidRPr="00DB4BEB" w:rsidRDefault="00DB4BEB" w:rsidP="00DB4BE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 «Анатомия ЦНС</w:t>
      </w:r>
      <w:r w:rsidR="0099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«Психология развития и возрастная психология», «Экспериментальная психология», «Психодиагностика», «Психология личности», «Общая психология», «Общий психологический практикум», «Социальная психология», «Психофизиология», «Физиология ВНД и сенсорных систем»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D1" w:rsidRPr="007D14CB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3B4F44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180D23" w:rsidTr="00D4332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180D23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180D23" w:rsidTr="00D4332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проведения психологических исследований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психологии. </w:t>
            </w:r>
          </w:p>
          <w:p w:rsidR="003B4F44" w:rsidRPr="00180D23" w:rsidRDefault="003B4F44" w:rsidP="00D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 w:rsidR="00564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D43328" w:rsidRDefault="00C52F81" w:rsidP="00D4332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6436D" w:rsidRDefault="0056436D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D4332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80D23" w:rsidRPr="007F42FC" w:rsidRDefault="00180D23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7"/>
        <w:gridCol w:w="1696"/>
        <w:gridCol w:w="567"/>
        <w:gridCol w:w="708"/>
        <w:gridCol w:w="710"/>
        <w:gridCol w:w="852"/>
        <w:gridCol w:w="1700"/>
        <w:gridCol w:w="1240"/>
      </w:tblGrid>
      <w:tr w:rsidR="00D43328" w:rsidRPr="00D43328" w:rsidTr="00D43328">
        <w:trPr>
          <w:trHeight w:val="837"/>
          <w:tblHeader/>
        </w:trPr>
        <w:tc>
          <w:tcPr>
            <w:tcW w:w="1096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6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компетенций)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43328" w:rsidRPr="00D43328" w:rsidTr="00D43328">
        <w:trPr>
          <w:trHeight w:val="273"/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rPr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6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3.Современные подходы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4.Консультирование супругов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5.Консультирование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написанию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605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10.Консультирование по телефону доверия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11.Групповое психологическое консультирование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163"/>
        </w:trPr>
        <w:tc>
          <w:tcPr>
            <w:tcW w:w="1982" w:type="pct"/>
            <w:gridSpan w:val="2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43328" w:rsidRPr="00D43328" w:rsidRDefault="00D43328" w:rsidP="00D433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7F42FC" w:rsidRPr="007F42FC" w:rsidRDefault="007F42FC" w:rsidP="007F42FC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1D79DB" w:rsidRDefault="001D79DB" w:rsidP="00180D2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 Цели изучения семьи.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чего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семейного и супружеского консультирования.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Цели изучения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диагностики семьи.</w:t>
      </w: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Default="001D79DB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="003F1386" w:rsidRPr="003F1386">
        <w:t xml:space="preserve">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Стадии процесса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Основные компоненты семейного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3. Определение ориентиров совместной работы клиента и консультанта.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lastRenderedPageBreak/>
        <w:t xml:space="preserve">1. Условия </w:t>
      </w:r>
      <w:proofErr w:type="gramStart"/>
      <w:r w:rsidRPr="003F138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F1386">
        <w:rPr>
          <w:rFonts w:ascii="Times New Roman" w:hAnsi="Times New Roman" w:cs="Times New Roman"/>
          <w:sz w:val="28"/>
          <w:szCs w:val="28"/>
        </w:rPr>
        <w:t xml:space="preserve"> для благоприятного развития семьи.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Анализ промежуточных и конечных результатов совместной работы и внесение на их основе изменений в программу консультирования-сопровождения. </w:t>
      </w:r>
    </w:p>
    <w:p w:rsidR="001D79DB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hAnsi="Times New Roman" w:cs="Times New Roman"/>
          <w:sz w:val="28"/>
          <w:szCs w:val="28"/>
        </w:rPr>
        <w:t>3. Динамика всего процесса консультирования. Определение «места, на котором в момент обращения находится семья».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Основоположники системного подхода (М. Боуэн, С. Минухин, В. Сатир, К. Витакер и др.) Семья как целостная система. Семейная психотерапия в системном подходе. Семья как живой организм. Структурная семейная терапия С. Минухин.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миникризис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Семь категорий действий психолога по переструктурированию семьи: это актуализация семейных моделей взаимодействия; установление или разметка 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Хейли, К. Маданес, П. Вацлавик, Л. Хоффман и др.) направлена на формирование у членов семьи ответственности друг за друга.  «Семейные игры»  Эрика Берна. Психоаналитический подход Н. Аккермана, К. Сэджеар и др., когнитивно-поведенческий - Р. Дрейкурс, А. Эллис и др.</w:t>
      </w:r>
    </w:p>
    <w:p w:rsidR="001D79DB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Структурная семейная терапия С.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Стратегическая семейная терапия (Дж.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«Семейные игры»  Эрика Берна. 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Психоаналитический подход Н.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Когнитивно-поведенческий - Р.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Гештальтподход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консультировании семьи.</w:t>
      </w:r>
    </w:p>
    <w:p w:rsidR="007F42FC" w:rsidRPr="00180D23" w:rsidRDefault="007F42FC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супругов;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Pr="00180D23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именно поведенческие ситуации стали основой обращения. Причины нарушения детско-родительских отношений. </w:t>
      </w:r>
    </w:p>
    <w:p w:rsidR="007F42FC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Роджерса.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социально-психологической компетентности родителей,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адекватных способов взаимодействия с детьми. «Принятие ребенка и присоединение к 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наглядно-образное мышление и формируются мыслительные операции словесно-логического уровня. Бурное развитие речевой деятельности. 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школьного обучения. Причины школьной неуспешности на начальных этапах обучения, их биологический и социальный характер.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темп психической активности (корковая незрелость); дефицит внимания с гиперактивностью (незрелость подкорковых структур); вегетативная лабильность на фоне соматической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ослабленно-сти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силу незрелости или вследствие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вегетативной нервной системы); общая 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болезни и частые простудные заболевания ребенка и, как следствие, его общая соматическая ослабленность. Социальная депривация, педагогическая запущенность ребенка, плохие условия воспитания и жизнеобеспечения, жестко нормативный стиль 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подросткового возраста. Социально дезадаптированные дети самоутверждаются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группового психологического 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Рудестам. Реакции, 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Преимущество групповой психотерапии.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гешталът-группа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7D14CB" w:rsidRPr="00180D23" w:rsidRDefault="007D14CB" w:rsidP="00180D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5069E2" w:rsidRPr="005069E2" w:rsidRDefault="005069E2" w:rsidP="005069E2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02"/>
        <w:gridCol w:w="567"/>
        <w:gridCol w:w="709"/>
        <w:gridCol w:w="852"/>
        <w:gridCol w:w="993"/>
        <w:gridCol w:w="1627"/>
        <w:gridCol w:w="1237"/>
      </w:tblGrid>
      <w:tr w:rsidR="001D79DB" w:rsidRPr="00D43328" w:rsidTr="001D79DB">
        <w:trPr>
          <w:trHeight w:val="884"/>
          <w:tblHeader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5" w:type="pct"/>
            <w:vMerge w:val="restart"/>
            <w:vAlign w:val="center"/>
          </w:tcPr>
          <w:p w:rsidR="00D43328" w:rsidRPr="001D79DB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9DB" w:rsidRPr="00D43328" w:rsidTr="001D79DB">
        <w:trPr>
          <w:trHeight w:val="479"/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заданий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rPr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43328" w:rsidRPr="00D43328" w:rsidRDefault="001D79DB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43328"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1065E1" w:rsidRPr="00D43328" w:rsidRDefault="001065E1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vAlign w:val="center"/>
          </w:tcPr>
          <w:p w:rsidR="001065E1" w:rsidRPr="00D43328" w:rsidRDefault="001065E1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65E1" w:rsidRPr="00D43328" w:rsidRDefault="001065E1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3" w:type="pct"/>
            <w:vAlign w:val="center"/>
          </w:tcPr>
          <w:p w:rsidR="00DB4BEB" w:rsidRPr="00D43328" w:rsidRDefault="00DB4BE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3.Современные подходы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4.Консультирование супругов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написанию реферата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5.Консультирование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8.Особенности консультирован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Тест 2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605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10.Консультирование по телефону доверия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3F1386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11.Групповое психологическое консультирование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186"/>
        </w:trPr>
        <w:tc>
          <w:tcPr>
            <w:tcW w:w="1895" w:type="pct"/>
            <w:gridSpan w:val="2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D79DB" w:rsidRPr="00D43328" w:rsidRDefault="001D79D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F358CA" w:rsidRPr="00180D23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Цель, признаки и условия эффективной психологической помощи. Цели изучения семьи.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чего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семейного и супружеского консультирования.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Цели изучения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диагностики семьи.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Pr="003F1386">
        <w:t xml:space="preserve">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Стадии процесса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Основные компоненты семейного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3. Определение ориентиров совместной работы клиента и консультанта.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Условия </w:t>
      </w:r>
      <w:proofErr w:type="gramStart"/>
      <w:r w:rsidRPr="003F138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F1386">
        <w:rPr>
          <w:rFonts w:ascii="Times New Roman" w:hAnsi="Times New Roman" w:cs="Times New Roman"/>
          <w:sz w:val="28"/>
          <w:szCs w:val="28"/>
        </w:rPr>
        <w:t xml:space="preserve"> для благоприятного развития семьи.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Анализ промежуточных и конечных результатов совместной работы и внесение на их основе изменений в программу консультирования-сопровождения.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hAnsi="Times New Roman" w:cs="Times New Roman"/>
          <w:sz w:val="28"/>
          <w:szCs w:val="28"/>
        </w:rPr>
        <w:t>3. Динамика всего процесса консультирования. Определение «места, на котором в момент обращения находится семья».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системного подхода (М.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Сатир,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Витакер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Семья как целостная система. Семейная психотерапия в системном подходе. Семья как живой организм. Структурная семейная терапия С.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миникризис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Семь категорий действий психолога по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переструктурированию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семьи: это актуализация семейных моделей взаимодействия; установление или разметка 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направлена на формирование у членов семьи ответственности друг за друга.  «Семейные игры»  Эрика Берна. Психоаналитический подход Н.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когнитивно-поведенческий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Структурная семейная терапия С.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Стратегическая семейная терапия (Дж.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«Семейные игры»  Эрика Берна. 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Психоаналитический подход Н.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Когнитивно-поведенческий - Р.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Гештальтподход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консультировании семьи.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супругов;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именно поведенческие ситуации стали основой обращения. Причины нарушения детско-родительских отношений.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адекватных способов взаимодействия с детьми. «Принятие ребенка и присоединение к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7. Особенности консультирования семьи с детьми дошкольного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наглядно-образное мышление и формируются мыслительные операции словесно-логического уровня. Бурное развитие речевой деятельности. 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школьного обучения. Причины школьной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этапах обучения, их биологический и социальный характер.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темп психической активности (корковая незрелость); дефицит внимания с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(незрелость подкорковых структур); вегетативная лабильность на фоне соматической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ослабленно-сти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силу незрелости или вследствие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вегетативной нервной системы); общая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болезни и частые простудные заболевания ребенка и, как следствие, его общая соматическая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Социальная депривация, педагогическая запущенность ребенка, плохие условия воспитания и жизнеобеспечения, жестко нормативный стиль 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подросткового возраста. Социально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дезадаптированные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самоутверждаются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психологической поддержки семье или конкретному человеку.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группового психологического 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Реакции, 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Преимущество групповой психотерапии.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гешталът-группа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4B3B8A" w:rsidRPr="00180D23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9F6E46" w:rsidRPr="009F6E46" w:rsidRDefault="009F6E46" w:rsidP="009F6E4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F6E46" w:rsidRPr="009F6E46" w:rsidRDefault="009F6E46" w:rsidP="009F6E4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F6E46" w:rsidRPr="009F6E46" w:rsidRDefault="009F6E46" w:rsidP="009F6E4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D79DB" w:rsidTr="001D79DB">
        <w:trPr>
          <w:trHeight w:val="828"/>
        </w:trPr>
        <w:tc>
          <w:tcPr>
            <w:tcW w:w="670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D79DB" w:rsidTr="001D79DB">
        <w:trPr>
          <w:trHeight w:val="340"/>
        </w:trPr>
        <w:tc>
          <w:tcPr>
            <w:tcW w:w="670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0D23"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474" w:type="dxa"/>
            <w:vAlign w:val="center"/>
          </w:tcPr>
          <w:p w:rsidR="004B3B8A" w:rsidRPr="001D79DB" w:rsidRDefault="001E1D8B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Суслова, Т. Ф. </w:t>
            </w:r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семьи с основами семейного консультирования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Т. Ф. Суслова, И. В. Шаповаленко. — М.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343 с. — (Серия : Бакалавр. 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978-5-534-00869-2.</w:t>
            </w:r>
          </w:p>
        </w:tc>
        <w:tc>
          <w:tcPr>
            <w:tcW w:w="1858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B3B8A" w:rsidRPr="001D79DB" w:rsidRDefault="00342710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0D23" w:rsidRPr="001D79D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https://urait.ru/catalog/399299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D79DB" w:rsidTr="001D79DB">
        <w:trPr>
          <w:trHeight w:val="340"/>
        </w:trPr>
        <w:tc>
          <w:tcPr>
            <w:tcW w:w="670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7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Прохорова, О. Г. </w:t>
            </w: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семьи и семейного консультирования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О. Г. Прохорова. — 2-е изд., испр. и доп. — М. : Издательство Юрайт, 2018. — 234 с. — (Серия :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ISBN 978-5-534-08301-9.</w:t>
            </w:r>
          </w:p>
        </w:tc>
        <w:tc>
          <w:tcPr>
            <w:tcW w:w="1858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D79DB" w:rsidRDefault="00342710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80D23" w:rsidRPr="001D79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https://urait.ru/catalog/415333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80D23" w:rsidTr="001D79DB">
        <w:trPr>
          <w:trHeight w:val="828"/>
        </w:trPr>
        <w:tc>
          <w:tcPr>
            <w:tcW w:w="670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80D23" w:rsidTr="001D79DB">
        <w:trPr>
          <w:trHeight w:val="340"/>
        </w:trPr>
        <w:tc>
          <w:tcPr>
            <w:tcW w:w="670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4B3B8A" w:rsidRPr="00180D23" w:rsidRDefault="00102919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Соколова, Е. Т.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бакалавриата, специалитета и магистратуры / Е. Т. Соколова. — 5-е изд., испр. и доп. — М. : Издательство Юрайт, 2018. — 359 с. — (Серия : Бакалавр. Специалист. 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978-5-534-05416-3</w:t>
            </w:r>
          </w:p>
        </w:tc>
        <w:tc>
          <w:tcPr>
            <w:tcW w:w="1858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180D23" w:rsidRDefault="00342710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80D23" w:rsidRPr="00180D2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https://urait.ru/catalog/411239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80D23" w:rsidTr="001D79DB">
        <w:trPr>
          <w:trHeight w:val="340"/>
        </w:trPr>
        <w:tc>
          <w:tcPr>
            <w:tcW w:w="670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семьи и семейного консультирования : учебник для академического бакалавриата / под общ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Н. Н. </w:t>
            </w:r>
            <w:proofErr w:type="spell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Посысоева</w:t>
            </w:r>
            <w:proofErr w:type="spell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. — 2-е изд., пер. и доп. — М. : Издательство Юрайт, 2018. — 266 с.</w:t>
            </w:r>
          </w:p>
        </w:tc>
        <w:tc>
          <w:tcPr>
            <w:tcW w:w="1858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80D23" w:rsidRDefault="00342710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80D23" w:rsidRPr="00180D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https://urait.ru/catalog/424403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D79DB" w:rsidRPr="00E80460" w:rsidTr="00616877"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1D79DB" w:rsidRPr="00E80460" w:rsidTr="00616877">
        <w:trPr>
          <w:trHeight w:val="34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1D79DB" w:rsidRPr="00E80460" w:rsidTr="00616877">
        <w:trPr>
          <w:trHeight w:val="52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D79DB" w:rsidRPr="00E80460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D79DB" w:rsidRPr="00E95FFF" w:rsidRDefault="001D79DB" w:rsidP="001D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1D79DB" w:rsidRPr="00E95FFF" w:rsidRDefault="001D79DB" w:rsidP="001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1D79DB" w:rsidRPr="004930B8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1D79DB" w:rsidRPr="004930B8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1D79DB" w:rsidRPr="004930B8" w:rsidRDefault="00342710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1D79DB" w:rsidRPr="004930B8" w:rsidRDefault="00342710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D79D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1D79D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8F0659" w:rsidRDefault="008F0659" w:rsidP="008F0659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D79D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кейс-технология, проектная технология,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0766E8" w:rsidRPr="007D14CB" w:rsidRDefault="000766E8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1D79DB" w:rsidRPr="00E80460" w:rsidTr="0061687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995CE1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1" w:rsidRPr="00E80460" w:rsidRDefault="00995CE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1" w:rsidRPr="00995CE1" w:rsidRDefault="00995CE1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5CE1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1" w:rsidRPr="00995CE1" w:rsidRDefault="00995CE1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5CE1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995CE1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1" w:rsidRPr="00E80460" w:rsidRDefault="00995CE1" w:rsidP="00616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Справочно-правовая система «Гарант». Договор 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 05.11.2014 № СК6030/11/14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1D79DB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1D79DB" w:rsidRDefault="001D79DB" w:rsidP="001D7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1D79DB" w:rsidRDefault="001D79DB" w:rsidP="001D7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E80460" w:rsidRDefault="001D79D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2016 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RUS OLP NL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D011F9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E80460" w:rsidRDefault="00D011F9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D011F9" w:rsidRDefault="00D011F9" w:rsidP="00D01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11F9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D011F9" w:rsidRDefault="00D011F9" w:rsidP="00D01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11F9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1D79DB" w:rsidRDefault="00D011F9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011F9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E80460" w:rsidRDefault="00D011F9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D011F9" w:rsidRDefault="00D011F9" w:rsidP="00D01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011F9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D011F9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D011F9" w:rsidRDefault="00995CE1" w:rsidP="00D01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95CE1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9" w:rsidRPr="001D79DB" w:rsidRDefault="00D011F9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D79DB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E80460" w:rsidRDefault="00D011F9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1D79DB" w:rsidRDefault="001D79DB" w:rsidP="001D7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1D79DB" w:rsidRDefault="001D79DB" w:rsidP="001D7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DB" w:rsidRPr="001D79DB" w:rsidRDefault="001D79DB" w:rsidP="001D7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заведениях.</w:t>
            </w:r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1D79D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1D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1D79DB" w:rsidP="00531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31BD4"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31BD4" w:rsidRPr="00531BD4" w:rsidRDefault="00531BD4" w:rsidP="00531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95CE1" w:rsidTr="009B78F7">
        <w:trPr>
          <w:trHeight w:val="1134"/>
        </w:trPr>
        <w:tc>
          <w:tcPr>
            <w:tcW w:w="562" w:type="dxa"/>
            <w:vAlign w:val="center"/>
          </w:tcPr>
          <w:p w:rsidR="00995CE1" w:rsidRPr="00995CE1" w:rsidRDefault="00995C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95CE1" w:rsidRPr="00995CE1" w:rsidRDefault="00995C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95CE1" w:rsidRPr="00995CE1" w:rsidRDefault="00995C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261" w:type="dxa"/>
            <w:vAlign w:val="center"/>
          </w:tcPr>
          <w:p w:rsidR="00995CE1" w:rsidRPr="00995CE1" w:rsidRDefault="00995C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95CE1" w:rsidRPr="00995CE1" w:rsidRDefault="00995C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95CE1" w:rsidRPr="00995CE1" w:rsidRDefault="00995C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95CE1" w:rsidRPr="009B78F7" w:rsidRDefault="00995CE1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C0D" w:rsidTr="009B78F7">
        <w:trPr>
          <w:trHeight w:val="1134"/>
        </w:trPr>
        <w:tc>
          <w:tcPr>
            <w:tcW w:w="562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BB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26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B6C0D" w:rsidRPr="009B78F7" w:rsidRDefault="00BB6C0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-81915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C0D" w:rsidTr="009B78F7">
        <w:trPr>
          <w:trHeight w:val="1134"/>
        </w:trPr>
        <w:tc>
          <w:tcPr>
            <w:tcW w:w="562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B6C0D" w:rsidRPr="009B78F7" w:rsidRDefault="00BB6C0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-188595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45" w:rsidRDefault="00E36845">
      <w:pPr>
        <w:spacing w:after="0" w:line="240" w:lineRule="auto"/>
      </w:pPr>
      <w:r>
        <w:separator/>
      </w:r>
    </w:p>
  </w:endnote>
  <w:endnote w:type="continuationSeparator" w:id="0">
    <w:p w:rsidR="00E36845" w:rsidRDefault="00E3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45" w:rsidRDefault="00E36845">
      <w:pPr>
        <w:spacing w:after="0" w:line="240" w:lineRule="auto"/>
      </w:pPr>
      <w:r>
        <w:separator/>
      </w:r>
    </w:p>
  </w:footnote>
  <w:footnote w:type="continuationSeparator" w:id="0">
    <w:p w:rsidR="00E36845" w:rsidRDefault="00E3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342710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328" w:rsidRDefault="00D43328">
    <w:pPr>
      <w:pStyle w:val="a3"/>
    </w:pPr>
  </w:p>
  <w:p w:rsidR="00D43328" w:rsidRDefault="00D433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342710" w:rsidP="004B3B8A">
    <w:pPr>
      <w:pStyle w:val="a3"/>
      <w:jc w:val="center"/>
    </w:pPr>
    <w:r>
      <w:fldChar w:fldCharType="begin"/>
    </w:r>
    <w:r w:rsidR="00E8189D">
      <w:instrText>PAGE   \* MERGEFORMAT</w:instrText>
    </w:r>
    <w:r>
      <w:fldChar w:fldCharType="separate"/>
    </w:r>
    <w:r w:rsidR="00F421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766E8"/>
    <w:rsid w:val="00090FF8"/>
    <w:rsid w:val="000E7170"/>
    <w:rsid w:val="000F1BDC"/>
    <w:rsid w:val="00102919"/>
    <w:rsid w:val="001065E1"/>
    <w:rsid w:val="001203B1"/>
    <w:rsid w:val="001451CF"/>
    <w:rsid w:val="001569DF"/>
    <w:rsid w:val="00180B23"/>
    <w:rsid w:val="00180D23"/>
    <w:rsid w:val="001A3963"/>
    <w:rsid w:val="001A58CB"/>
    <w:rsid w:val="001C7777"/>
    <w:rsid w:val="001D79DB"/>
    <w:rsid w:val="001E18B8"/>
    <w:rsid w:val="001E1D8B"/>
    <w:rsid w:val="00213C5C"/>
    <w:rsid w:val="00223AD5"/>
    <w:rsid w:val="00272515"/>
    <w:rsid w:val="00342710"/>
    <w:rsid w:val="003501B4"/>
    <w:rsid w:val="0037597A"/>
    <w:rsid w:val="003B4F44"/>
    <w:rsid w:val="003C4BC7"/>
    <w:rsid w:val="003F1386"/>
    <w:rsid w:val="003F4ADA"/>
    <w:rsid w:val="004B3B8A"/>
    <w:rsid w:val="005069E2"/>
    <w:rsid w:val="00531BD4"/>
    <w:rsid w:val="0056436D"/>
    <w:rsid w:val="005A6F3D"/>
    <w:rsid w:val="005F0D17"/>
    <w:rsid w:val="00606181"/>
    <w:rsid w:val="00622060"/>
    <w:rsid w:val="006548E5"/>
    <w:rsid w:val="00690CEC"/>
    <w:rsid w:val="00704B68"/>
    <w:rsid w:val="007656D1"/>
    <w:rsid w:val="00783937"/>
    <w:rsid w:val="007D14CB"/>
    <w:rsid w:val="007F42FC"/>
    <w:rsid w:val="008744CD"/>
    <w:rsid w:val="008D4D6D"/>
    <w:rsid w:val="008F0659"/>
    <w:rsid w:val="00962E8D"/>
    <w:rsid w:val="0096643E"/>
    <w:rsid w:val="00971F1F"/>
    <w:rsid w:val="00977904"/>
    <w:rsid w:val="00995CE1"/>
    <w:rsid w:val="009B583C"/>
    <w:rsid w:val="009B78F7"/>
    <w:rsid w:val="009F6E46"/>
    <w:rsid w:val="00A643CF"/>
    <w:rsid w:val="00A657CC"/>
    <w:rsid w:val="00A818A4"/>
    <w:rsid w:val="00AA7387"/>
    <w:rsid w:val="00B35C95"/>
    <w:rsid w:val="00B932D4"/>
    <w:rsid w:val="00BB6C0D"/>
    <w:rsid w:val="00BF0C6E"/>
    <w:rsid w:val="00C244E5"/>
    <w:rsid w:val="00C34FEA"/>
    <w:rsid w:val="00C52F81"/>
    <w:rsid w:val="00C81A3B"/>
    <w:rsid w:val="00C8757A"/>
    <w:rsid w:val="00C95142"/>
    <w:rsid w:val="00D011F9"/>
    <w:rsid w:val="00D43328"/>
    <w:rsid w:val="00D61229"/>
    <w:rsid w:val="00D87F1C"/>
    <w:rsid w:val="00DB4BEB"/>
    <w:rsid w:val="00E36845"/>
    <w:rsid w:val="00E8189D"/>
    <w:rsid w:val="00ED4AE7"/>
    <w:rsid w:val="00F358CA"/>
    <w:rsid w:val="00F421ED"/>
    <w:rsid w:val="00F551D2"/>
    <w:rsid w:val="00F94B20"/>
    <w:rsid w:val="00FB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D23"/>
    <w:rPr>
      <w:color w:val="0563C1" w:themeColor="hyperlink"/>
      <w:u w:val="single"/>
    </w:rPr>
  </w:style>
  <w:style w:type="paragraph" w:customStyle="1" w:styleId="Default">
    <w:name w:val="Default"/>
    <w:rsid w:val="00076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5333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99299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4403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1239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35</Pages>
  <Words>9805</Words>
  <Characters>55891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24</cp:revision>
  <cp:lastPrinted>2019-09-25T07:40:00Z</cp:lastPrinted>
  <dcterms:created xsi:type="dcterms:W3CDTF">2018-11-01T13:04:00Z</dcterms:created>
  <dcterms:modified xsi:type="dcterms:W3CDTF">2019-12-12T15:39:00Z</dcterms:modified>
</cp:coreProperties>
</file>